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67C60" w:rsidP="00F67C60">
      <w:pPr>
        <w:rPr>
          <w:rFonts w:ascii="Times New Roman" w:hAnsi="Times New Roman" w:cs="Times New Roman"/>
          <w:b/>
          <w:sz w:val="24"/>
        </w:rPr>
      </w:pPr>
    </w:p>
    <w:p w:rsidR="00F67C60" w:rsidP="00F67C60">
      <w:pPr>
        <w:rPr>
          <w:rFonts w:ascii="Times New Roman" w:hAnsi="Times New Roman" w:cs="Times New Roman"/>
          <w:b/>
          <w:sz w:val="24"/>
        </w:rPr>
      </w:pPr>
    </w:p>
    <w:p w:rsidR="00F67C60" w:rsidP="00F67C60">
      <w:pPr>
        <w:rPr>
          <w:rFonts w:ascii="Times New Roman" w:hAnsi="Times New Roman" w:cs="Times New Roman"/>
          <w:b/>
          <w:sz w:val="24"/>
        </w:rPr>
      </w:pPr>
    </w:p>
    <w:p w:rsidR="00F67C60" w:rsidP="00F67C60">
      <w:pPr>
        <w:jc w:val="center"/>
        <w:rPr>
          <w:rFonts w:ascii="Times New Roman" w:hAnsi="Times New Roman" w:cs="Times New Roman"/>
          <w:b/>
          <w:sz w:val="24"/>
        </w:rPr>
      </w:pPr>
    </w:p>
    <w:p w:rsidR="00F67C60" w:rsidP="00F67C60">
      <w:pPr>
        <w:jc w:val="center"/>
        <w:rPr>
          <w:rFonts w:ascii="Times New Roman" w:hAnsi="Times New Roman" w:cs="Times New Roman"/>
          <w:b/>
          <w:sz w:val="24"/>
        </w:rPr>
      </w:pPr>
    </w:p>
    <w:p w:rsidR="00F67C60" w:rsidP="00F67C60">
      <w:pPr>
        <w:jc w:val="center"/>
        <w:rPr>
          <w:rFonts w:ascii="Times New Roman" w:hAnsi="Times New Roman" w:cs="Times New Roman"/>
          <w:b/>
          <w:sz w:val="24"/>
        </w:rPr>
      </w:pPr>
    </w:p>
    <w:p w:rsidR="00F67C60" w:rsidRPr="00F452EE" w:rsidP="00F67C60">
      <w:pPr>
        <w:spacing w:line="480" w:lineRule="auto"/>
        <w:jc w:val="center"/>
        <w:rPr>
          <w:rFonts w:ascii="Times New Roman" w:hAnsi="Times New Roman" w:cs="Times New Roman"/>
          <w:sz w:val="24"/>
        </w:rPr>
      </w:pPr>
      <w:r w:rsidRPr="00F452EE">
        <w:rPr>
          <w:rFonts w:ascii="Times New Roman" w:hAnsi="Times New Roman" w:cs="Times New Roman"/>
          <w:sz w:val="24"/>
        </w:rPr>
        <w:t xml:space="preserve">Prosecutorial Discretion </w:t>
      </w:r>
    </w:p>
    <w:p w:rsidR="00F67C60" w:rsidRPr="00A75278" w:rsidP="00F67C60">
      <w:pPr>
        <w:spacing w:line="480" w:lineRule="auto"/>
        <w:jc w:val="center"/>
        <w:rPr>
          <w:rFonts w:ascii="Times New Roman" w:hAnsi="Times New Roman" w:cs="Times New Roman"/>
          <w:sz w:val="24"/>
        </w:rPr>
      </w:pPr>
      <w:r w:rsidRPr="00A75278">
        <w:rPr>
          <w:rFonts w:ascii="Times New Roman" w:hAnsi="Times New Roman" w:cs="Times New Roman"/>
          <w:sz w:val="24"/>
        </w:rPr>
        <w:t>By (Name)</w:t>
      </w:r>
    </w:p>
    <w:p w:rsidR="00F67C60" w:rsidRPr="00A75278" w:rsidP="00F67C60">
      <w:pPr>
        <w:spacing w:line="480" w:lineRule="auto"/>
        <w:jc w:val="center"/>
        <w:rPr>
          <w:rFonts w:ascii="Times New Roman" w:hAnsi="Times New Roman" w:cs="Times New Roman"/>
          <w:sz w:val="24"/>
        </w:rPr>
      </w:pPr>
      <w:r w:rsidRPr="00A75278">
        <w:rPr>
          <w:rFonts w:ascii="Times New Roman" w:hAnsi="Times New Roman" w:cs="Times New Roman"/>
          <w:sz w:val="24"/>
        </w:rPr>
        <w:t>Name of the Class</w:t>
      </w:r>
    </w:p>
    <w:p w:rsidR="00F67C60" w:rsidRPr="00A75278" w:rsidP="00F67C60">
      <w:pPr>
        <w:spacing w:line="480" w:lineRule="auto"/>
        <w:jc w:val="center"/>
        <w:rPr>
          <w:rFonts w:ascii="Times New Roman" w:hAnsi="Times New Roman" w:cs="Times New Roman"/>
          <w:sz w:val="24"/>
        </w:rPr>
      </w:pPr>
      <w:r w:rsidRPr="00A75278">
        <w:rPr>
          <w:rFonts w:ascii="Times New Roman" w:hAnsi="Times New Roman" w:cs="Times New Roman"/>
          <w:sz w:val="24"/>
        </w:rPr>
        <w:t>Professor</w:t>
      </w:r>
    </w:p>
    <w:p w:rsidR="00F67C60" w:rsidRPr="00A75278" w:rsidP="00F67C60">
      <w:pPr>
        <w:spacing w:line="480" w:lineRule="auto"/>
        <w:jc w:val="center"/>
        <w:rPr>
          <w:rFonts w:ascii="Times New Roman" w:hAnsi="Times New Roman" w:cs="Times New Roman"/>
          <w:sz w:val="24"/>
        </w:rPr>
      </w:pPr>
      <w:r w:rsidRPr="00A75278">
        <w:rPr>
          <w:rFonts w:ascii="Times New Roman" w:hAnsi="Times New Roman" w:cs="Times New Roman"/>
          <w:sz w:val="24"/>
        </w:rPr>
        <w:t>Name of the School</w:t>
      </w:r>
    </w:p>
    <w:p w:rsidR="00F67C60" w:rsidP="00F67C60">
      <w:pPr>
        <w:spacing w:line="480" w:lineRule="auto"/>
        <w:jc w:val="center"/>
        <w:rPr>
          <w:rFonts w:ascii="Times New Roman" w:hAnsi="Times New Roman" w:cs="Times New Roman"/>
          <w:b/>
          <w:sz w:val="24"/>
          <w:szCs w:val="24"/>
        </w:rPr>
      </w:pPr>
      <w:r w:rsidRPr="00A75278">
        <w:rPr>
          <w:rFonts w:ascii="Times New Roman" w:hAnsi="Times New Roman" w:cs="Times New Roman"/>
          <w:sz w:val="24"/>
        </w:rPr>
        <w:t>Date</w:t>
      </w:r>
    </w:p>
    <w:p w:rsidR="00F67C60" w:rsidP="00F67C60">
      <w:pPr>
        <w:jc w:val="center"/>
        <w:rPr>
          <w:rFonts w:ascii="Times New Roman" w:hAnsi="Times New Roman" w:cs="Times New Roman"/>
          <w:b/>
          <w:sz w:val="24"/>
        </w:rPr>
      </w:pPr>
    </w:p>
    <w:p w:rsidR="00F67C60" w:rsidP="00F67C60">
      <w:pPr>
        <w:jc w:val="center"/>
        <w:rPr>
          <w:rFonts w:ascii="Times New Roman" w:hAnsi="Times New Roman" w:cs="Times New Roman"/>
          <w:b/>
          <w:sz w:val="24"/>
        </w:rPr>
      </w:pPr>
    </w:p>
    <w:p w:rsidR="00F67C60" w:rsidP="00F67C60">
      <w:pPr>
        <w:jc w:val="center"/>
        <w:rPr>
          <w:rFonts w:ascii="Times New Roman" w:hAnsi="Times New Roman" w:cs="Times New Roman"/>
          <w:b/>
          <w:sz w:val="24"/>
        </w:rPr>
      </w:pPr>
    </w:p>
    <w:p w:rsidR="00F67C60" w:rsidP="00F67C60">
      <w:pPr>
        <w:jc w:val="center"/>
        <w:rPr>
          <w:rFonts w:ascii="Times New Roman" w:hAnsi="Times New Roman" w:cs="Times New Roman"/>
          <w:b/>
          <w:sz w:val="24"/>
        </w:rPr>
      </w:pPr>
    </w:p>
    <w:p w:rsidR="00F67C60" w:rsidP="00F67C60">
      <w:pPr>
        <w:jc w:val="center"/>
        <w:rPr>
          <w:rFonts w:ascii="Times New Roman" w:hAnsi="Times New Roman" w:cs="Times New Roman"/>
          <w:b/>
          <w:sz w:val="24"/>
        </w:rPr>
      </w:pPr>
    </w:p>
    <w:p w:rsidR="00F67C60" w:rsidP="00F67C60">
      <w:pPr>
        <w:jc w:val="center"/>
        <w:rPr>
          <w:rFonts w:ascii="Times New Roman" w:hAnsi="Times New Roman" w:cs="Times New Roman"/>
          <w:b/>
          <w:sz w:val="24"/>
        </w:rPr>
      </w:pPr>
    </w:p>
    <w:p w:rsidR="00F67C60" w:rsidP="00F67C60">
      <w:pPr>
        <w:jc w:val="center"/>
        <w:rPr>
          <w:rFonts w:ascii="Times New Roman" w:hAnsi="Times New Roman" w:cs="Times New Roman"/>
          <w:b/>
          <w:sz w:val="24"/>
        </w:rPr>
      </w:pPr>
    </w:p>
    <w:p w:rsidR="00F67C60" w:rsidP="00F67C60">
      <w:pPr>
        <w:jc w:val="center"/>
        <w:rPr>
          <w:rFonts w:ascii="Times New Roman" w:hAnsi="Times New Roman" w:cs="Times New Roman"/>
          <w:b/>
          <w:sz w:val="24"/>
        </w:rPr>
      </w:pPr>
    </w:p>
    <w:p w:rsidR="00F67C60" w:rsidP="00F67C60">
      <w:pPr>
        <w:jc w:val="center"/>
        <w:rPr>
          <w:rFonts w:ascii="Times New Roman" w:hAnsi="Times New Roman" w:cs="Times New Roman"/>
          <w:b/>
          <w:sz w:val="24"/>
        </w:rPr>
      </w:pPr>
    </w:p>
    <w:p w:rsidR="00F67C60" w:rsidP="00F67C60">
      <w:pPr>
        <w:jc w:val="center"/>
        <w:rPr>
          <w:rFonts w:ascii="Times New Roman" w:hAnsi="Times New Roman" w:cs="Times New Roman"/>
          <w:b/>
          <w:sz w:val="24"/>
        </w:rPr>
      </w:pPr>
    </w:p>
    <w:p w:rsidR="00F67C60" w:rsidP="00F67C60">
      <w:pPr>
        <w:jc w:val="center"/>
        <w:rPr>
          <w:rFonts w:ascii="Times New Roman" w:hAnsi="Times New Roman" w:cs="Times New Roman"/>
          <w:b/>
          <w:sz w:val="24"/>
        </w:rPr>
      </w:pPr>
    </w:p>
    <w:p w:rsidR="00F67C60" w:rsidP="00F452EE">
      <w:pPr>
        <w:rPr>
          <w:rFonts w:ascii="Times New Roman" w:hAnsi="Times New Roman" w:cs="Times New Roman"/>
          <w:b/>
          <w:sz w:val="24"/>
        </w:rPr>
      </w:pPr>
    </w:p>
    <w:p w:rsidR="00F67C60" w:rsidP="00F67C60">
      <w:pPr>
        <w:rPr>
          <w:rFonts w:ascii="Times New Roman" w:hAnsi="Times New Roman" w:cs="Times New Roman"/>
          <w:b/>
          <w:sz w:val="24"/>
        </w:rPr>
      </w:pPr>
    </w:p>
    <w:p w:rsidR="00F67C60" w:rsidRPr="00F67C60" w:rsidP="00F67C60">
      <w:pPr>
        <w:spacing w:line="480" w:lineRule="auto"/>
        <w:jc w:val="center"/>
        <w:rPr>
          <w:rFonts w:ascii="Times New Roman" w:hAnsi="Times New Roman" w:cs="Times New Roman"/>
          <w:b/>
          <w:sz w:val="24"/>
        </w:rPr>
      </w:pPr>
      <w:r w:rsidRPr="00F67C60">
        <w:rPr>
          <w:rFonts w:ascii="Times New Roman" w:hAnsi="Times New Roman" w:cs="Times New Roman"/>
          <w:b/>
          <w:sz w:val="24"/>
        </w:rPr>
        <w:t>List and define three areas of prosecutorial discretion and discuss the benefits and pitfalls of each area.</w:t>
      </w:r>
    </w:p>
    <w:p w:rsidR="00C216E3" w:rsidRPr="004C686A" w:rsidP="00F67C60">
      <w:pPr>
        <w:pStyle w:val="ListParagraph"/>
        <w:spacing w:line="480" w:lineRule="auto"/>
        <w:ind w:left="57"/>
        <w:jc w:val="center"/>
        <w:rPr>
          <w:rFonts w:ascii="Times New Roman" w:hAnsi="Times New Roman" w:cs="Times New Roman"/>
          <w:b/>
          <w:sz w:val="24"/>
          <w:szCs w:val="24"/>
        </w:rPr>
      </w:pPr>
      <w:r w:rsidRPr="004C686A">
        <w:rPr>
          <w:rFonts w:ascii="Times New Roman" w:hAnsi="Times New Roman" w:cs="Times New Roman"/>
          <w:b/>
          <w:sz w:val="24"/>
          <w:szCs w:val="24"/>
        </w:rPr>
        <w:t>Solutions</w:t>
      </w:r>
    </w:p>
    <w:p w:rsidR="00623C11" w:rsidRPr="00C10CCE" w:rsidP="00C10CCE">
      <w:pPr>
        <w:spacing w:line="480" w:lineRule="auto"/>
        <w:jc w:val="both"/>
        <w:rPr>
          <w:rFonts w:ascii="Times New Roman" w:hAnsi="Times New Roman" w:cs="Times New Roman"/>
          <w:sz w:val="24"/>
        </w:rPr>
      </w:pPr>
      <w:r w:rsidRPr="00C10CCE">
        <w:rPr>
          <w:rFonts w:ascii="Times New Roman" w:hAnsi="Times New Roman" w:cs="Times New Roman"/>
          <w:sz w:val="24"/>
        </w:rPr>
        <w:t>As a chosen or selected authority, the prosecutor is the most powerful criminal equity framework. Prosecutors practice liberated circumspection, concluding who to accuse of wrongdoing, what charges for recording when to drop the charges, regardless of whether to supplication deal, and how to apportion prosecutorial assets. In purviews where capital punishment is in power, the prosecutor, in a real sense, concludes who should live and who should bite the dust by the charging choice</w:t>
      </w:r>
      <w:r w:rsidRPr="00C10CCE" w:rsidR="00066BDC">
        <w:rPr>
          <w:rFonts w:ascii="Times New Roman" w:hAnsi="Times New Roman" w:cs="Times New Roman"/>
          <w:sz w:val="24"/>
        </w:rPr>
        <w:t xml:space="preserve"> (</w:t>
      </w:r>
      <w:r w:rsidRPr="00C10CCE" w:rsidR="00E06EA7">
        <w:rPr>
          <w:rFonts w:ascii="Times New Roman" w:hAnsi="Times New Roman" w:cs="Times New Roman"/>
          <w:sz w:val="24"/>
        </w:rPr>
        <w:t>Green, 2018</w:t>
      </w:r>
      <w:r w:rsidRPr="00C10CCE" w:rsidR="00066BDC">
        <w:rPr>
          <w:rFonts w:ascii="Times New Roman" w:hAnsi="Times New Roman" w:cs="Times New Roman"/>
          <w:sz w:val="24"/>
        </w:rPr>
        <w:t>).</w:t>
      </w:r>
      <w:r w:rsidRPr="00C10CCE">
        <w:rPr>
          <w:rFonts w:ascii="Times New Roman" w:hAnsi="Times New Roman" w:cs="Times New Roman"/>
          <w:sz w:val="24"/>
        </w:rPr>
        <w:t xml:space="preserve"> </w:t>
      </w:r>
    </w:p>
    <w:p w:rsidR="00623C11" w:rsidRPr="00C10CCE" w:rsidP="00C10CCE">
      <w:pPr>
        <w:spacing w:line="480" w:lineRule="auto"/>
        <w:jc w:val="both"/>
        <w:rPr>
          <w:rFonts w:ascii="Times New Roman" w:hAnsi="Times New Roman" w:cs="Times New Roman"/>
          <w:sz w:val="24"/>
        </w:rPr>
      </w:pPr>
      <w:r w:rsidRPr="00C10CCE">
        <w:rPr>
          <w:rFonts w:ascii="Times New Roman" w:hAnsi="Times New Roman" w:cs="Times New Roman"/>
          <w:sz w:val="24"/>
        </w:rPr>
        <w:t>Prosecutors exercise the most discretion in three decision-making areas: the decision to file charges, dismiss charges, and plea bargaining</w:t>
      </w:r>
      <w:r w:rsidRPr="00C10CCE" w:rsidR="00E06EA7">
        <w:rPr>
          <w:rFonts w:ascii="Times New Roman" w:hAnsi="Times New Roman" w:cs="Times New Roman"/>
          <w:sz w:val="24"/>
        </w:rPr>
        <w:t xml:space="preserve"> (Levine, 2016).</w:t>
      </w:r>
    </w:p>
    <w:p w:rsidR="00623C11" w:rsidRPr="00623C11" w:rsidP="00623C11">
      <w:pPr>
        <w:pStyle w:val="ListParagraph"/>
        <w:numPr>
          <w:ilvl w:val="0"/>
          <w:numId w:val="4"/>
        </w:numPr>
        <w:spacing w:line="480" w:lineRule="auto"/>
        <w:jc w:val="center"/>
        <w:rPr>
          <w:rFonts w:ascii="Times New Roman" w:hAnsi="Times New Roman" w:cs="Times New Roman"/>
          <w:b/>
          <w:sz w:val="24"/>
        </w:rPr>
      </w:pPr>
      <w:r w:rsidRPr="00623C11">
        <w:rPr>
          <w:rFonts w:ascii="Times New Roman" w:hAnsi="Times New Roman" w:cs="Times New Roman"/>
          <w:b/>
          <w:sz w:val="24"/>
        </w:rPr>
        <w:t>The decision to file charges</w:t>
      </w:r>
    </w:p>
    <w:p w:rsidR="00623C11" w:rsidRPr="00623C11" w:rsidP="00623C11">
      <w:pPr>
        <w:pStyle w:val="ListParagraph"/>
        <w:spacing w:line="480" w:lineRule="auto"/>
        <w:jc w:val="both"/>
        <w:rPr>
          <w:rFonts w:ascii="Times New Roman" w:hAnsi="Times New Roman" w:cs="Times New Roman"/>
          <w:sz w:val="24"/>
        </w:rPr>
      </w:pPr>
      <w:r w:rsidRPr="00623C11">
        <w:rPr>
          <w:rFonts w:ascii="Times New Roman" w:hAnsi="Times New Roman" w:cs="Times New Roman"/>
          <w:sz w:val="24"/>
        </w:rPr>
        <w:t xml:space="preserve"> Once an arrest is made, a prosecutor screens the case to determine if it should be prosecuted or dropped.</w:t>
      </w:r>
      <w:r w:rsidRPr="00623C11">
        <w:t xml:space="preserve"> </w:t>
      </w:r>
      <w:r w:rsidRPr="00623C11">
        <w:rPr>
          <w:rFonts w:ascii="Times New Roman" w:hAnsi="Times New Roman" w:cs="Times New Roman"/>
          <w:sz w:val="24"/>
        </w:rPr>
        <w:t xml:space="preserve">The choice to prosecute depends </w:t>
      </w:r>
      <w:r>
        <w:rPr>
          <w:rFonts w:ascii="Times New Roman" w:hAnsi="Times New Roman" w:cs="Times New Roman"/>
          <w:sz w:val="24"/>
        </w:rPr>
        <w:t xml:space="preserve">on the accompanying variables: </w:t>
      </w:r>
    </w:p>
    <w:p w:rsidR="00623C11" w:rsidRPr="00623C11" w:rsidP="00623C11">
      <w:pPr>
        <w:pStyle w:val="ListParagraph"/>
        <w:numPr>
          <w:ilvl w:val="0"/>
          <w:numId w:val="5"/>
        </w:numPr>
        <w:spacing w:line="480" w:lineRule="auto"/>
        <w:jc w:val="both"/>
        <w:rPr>
          <w:rFonts w:ascii="Times New Roman" w:hAnsi="Times New Roman" w:cs="Times New Roman"/>
          <w:sz w:val="24"/>
        </w:rPr>
      </w:pPr>
      <w:r w:rsidRPr="00623C11">
        <w:rPr>
          <w:rFonts w:ascii="Times New Roman" w:hAnsi="Times New Roman" w:cs="Times New Roman"/>
          <w:sz w:val="24"/>
        </w:rPr>
        <w:t xml:space="preserve">The adequacy of the proof connecting the suspect to the offense. </w:t>
      </w:r>
    </w:p>
    <w:p w:rsidR="00623C11" w:rsidRPr="00623C11" w:rsidP="00623C11">
      <w:pPr>
        <w:pStyle w:val="ListParagraph"/>
        <w:numPr>
          <w:ilvl w:val="0"/>
          <w:numId w:val="5"/>
        </w:numPr>
        <w:spacing w:line="480" w:lineRule="auto"/>
        <w:jc w:val="both"/>
        <w:rPr>
          <w:rFonts w:ascii="Times New Roman" w:hAnsi="Times New Roman" w:cs="Times New Roman"/>
          <w:sz w:val="24"/>
        </w:rPr>
      </w:pPr>
      <w:r w:rsidRPr="00623C11">
        <w:rPr>
          <w:rFonts w:ascii="Times New Roman" w:hAnsi="Times New Roman" w:cs="Times New Roman"/>
          <w:sz w:val="24"/>
        </w:rPr>
        <w:t xml:space="preserve">The reality of the offense. </w:t>
      </w:r>
    </w:p>
    <w:p w:rsidR="00623C11" w:rsidRPr="00623C11" w:rsidP="00623C11">
      <w:pPr>
        <w:pStyle w:val="ListParagraph"/>
        <w:numPr>
          <w:ilvl w:val="0"/>
          <w:numId w:val="5"/>
        </w:numPr>
        <w:spacing w:line="480" w:lineRule="auto"/>
        <w:jc w:val="both"/>
        <w:rPr>
          <w:rFonts w:ascii="Times New Roman" w:hAnsi="Times New Roman" w:cs="Times New Roman"/>
          <w:sz w:val="24"/>
        </w:rPr>
      </w:pPr>
      <w:r w:rsidRPr="00623C11">
        <w:rPr>
          <w:rFonts w:ascii="Times New Roman" w:hAnsi="Times New Roman" w:cs="Times New Roman"/>
          <w:sz w:val="24"/>
        </w:rPr>
        <w:t xml:space="preserve">The size of the court's caseload. </w:t>
      </w:r>
    </w:p>
    <w:p w:rsidR="00623C11" w:rsidRPr="00623C11" w:rsidP="00623C11">
      <w:pPr>
        <w:pStyle w:val="ListParagraph"/>
        <w:numPr>
          <w:ilvl w:val="0"/>
          <w:numId w:val="5"/>
        </w:numPr>
        <w:spacing w:line="480" w:lineRule="auto"/>
        <w:jc w:val="both"/>
        <w:rPr>
          <w:rFonts w:ascii="Times New Roman" w:hAnsi="Times New Roman" w:cs="Times New Roman"/>
          <w:sz w:val="24"/>
        </w:rPr>
      </w:pPr>
      <w:r w:rsidRPr="00623C11">
        <w:rPr>
          <w:rFonts w:ascii="Times New Roman" w:hAnsi="Times New Roman" w:cs="Times New Roman"/>
          <w:sz w:val="24"/>
        </w:rPr>
        <w:t xml:space="preserve">The need to save prosecutorial assets for more genuine cases. </w:t>
      </w:r>
    </w:p>
    <w:p w:rsidR="00623C11" w:rsidRPr="00623C11" w:rsidP="00623C11">
      <w:pPr>
        <w:pStyle w:val="ListParagraph"/>
        <w:numPr>
          <w:ilvl w:val="0"/>
          <w:numId w:val="5"/>
        </w:numPr>
        <w:spacing w:line="480" w:lineRule="auto"/>
        <w:jc w:val="both"/>
        <w:rPr>
          <w:rFonts w:ascii="Times New Roman" w:hAnsi="Times New Roman" w:cs="Times New Roman"/>
          <w:sz w:val="24"/>
        </w:rPr>
      </w:pPr>
      <w:r w:rsidRPr="00623C11">
        <w:rPr>
          <w:rFonts w:ascii="Times New Roman" w:hAnsi="Times New Roman" w:cs="Times New Roman"/>
          <w:sz w:val="24"/>
        </w:rPr>
        <w:t xml:space="preserve">The accessibility of options in contrast to formal prosecution. </w:t>
      </w:r>
    </w:p>
    <w:p w:rsidR="00623C11" w:rsidRPr="00623C11" w:rsidP="00623C11">
      <w:pPr>
        <w:pStyle w:val="ListParagraph"/>
        <w:numPr>
          <w:ilvl w:val="0"/>
          <w:numId w:val="5"/>
        </w:numPr>
        <w:spacing w:line="480" w:lineRule="auto"/>
        <w:jc w:val="both"/>
        <w:rPr>
          <w:rFonts w:ascii="Times New Roman" w:hAnsi="Times New Roman" w:cs="Times New Roman"/>
          <w:sz w:val="24"/>
        </w:rPr>
      </w:pPr>
      <w:r w:rsidRPr="00623C11">
        <w:rPr>
          <w:rFonts w:ascii="Times New Roman" w:hAnsi="Times New Roman" w:cs="Times New Roman"/>
          <w:sz w:val="24"/>
        </w:rPr>
        <w:t xml:space="preserve">The respondent's culpability (moral accountability). </w:t>
      </w:r>
    </w:p>
    <w:p w:rsidR="00623C11" w:rsidRPr="009F2ABE" w:rsidP="009F2ABE">
      <w:pPr>
        <w:pStyle w:val="ListParagraph"/>
        <w:numPr>
          <w:ilvl w:val="0"/>
          <w:numId w:val="5"/>
        </w:numPr>
        <w:spacing w:line="480" w:lineRule="auto"/>
        <w:jc w:val="both"/>
        <w:rPr>
          <w:rFonts w:ascii="Times New Roman" w:hAnsi="Times New Roman" w:cs="Times New Roman"/>
          <w:sz w:val="24"/>
        </w:rPr>
      </w:pPr>
      <w:r w:rsidRPr="00623C11">
        <w:rPr>
          <w:rFonts w:ascii="Times New Roman" w:hAnsi="Times New Roman" w:cs="Times New Roman"/>
          <w:sz w:val="24"/>
        </w:rPr>
        <w:t xml:space="preserve">The respondent's criminal record. </w:t>
      </w:r>
    </w:p>
    <w:p w:rsidR="00C216E3" w:rsidP="00623C11">
      <w:pPr>
        <w:pStyle w:val="ListParagraph"/>
        <w:numPr>
          <w:ilvl w:val="0"/>
          <w:numId w:val="5"/>
        </w:numPr>
        <w:spacing w:line="480" w:lineRule="auto"/>
        <w:jc w:val="both"/>
        <w:rPr>
          <w:rFonts w:ascii="Times New Roman" w:hAnsi="Times New Roman" w:cs="Times New Roman"/>
          <w:sz w:val="24"/>
        </w:rPr>
      </w:pPr>
      <w:r w:rsidRPr="00623C11">
        <w:rPr>
          <w:rFonts w:ascii="Times New Roman" w:hAnsi="Times New Roman" w:cs="Times New Roman"/>
          <w:sz w:val="24"/>
        </w:rPr>
        <w:t>The respondent's ability to help out the examination or prosecution of others.</w:t>
      </w:r>
    </w:p>
    <w:p w:rsidR="009F2ABE" w:rsidRPr="00623C11" w:rsidP="00066BDC">
      <w:pPr>
        <w:pStyle w:val="ListParagraph"/>
        <w:spacing w:line="480" w:lineRule="auto"/>
        <w:ind w:left="1440"/>
        <w:jc w:val="both"/>
        <w:rPr>
          <w:rFonts w:ascii="Times New Roman" w:hAnsi="Times New Roman" w:cs="Times New Roman"/>
          <w:sz w:val="24"/>
        </w:rPr>
      </w:pPr>
    </w:p>
    <w:p w:rsidR="00623C11" w:rsidRPr="00623C11" w:rsidP="00623C11">
      <w:pPr>
        <w:pStyle w:val="ListParagraph"/>
        <w:numPr>
          <w:ilvl w:val="0"/>
          <w:numId w:val="4"/>
        </w:numPr>
        <w:spacing w:line="480" w:lineRule="auto"/>
        <w:jc w:val="center"/>
        <w:rPr>
          <w:rFonts w:ascii="Times New Roman" w:hAnsi="Times New Roman" w:cs="Times New Roman"/>
          <w:b/>
          <w:sz w:val="24"/>
        </w:rPr>
      </w:pPr>
      <w:r w:rsidRPr="00623C11">
        <w:rPr>
          <w:rFonts w:ascii="Times New Roman" w:hAnsi="Times New Roman" w:cs="Times New Roman"/>
          <w:b/>
          <w:sz w:val="24"/>
        </w:rPr>
        <w:t>The decision to dismiss charges</w:t>
      </w:r>
    </w:p>
    <w:p w:rsidR="00066BDC" w:rsidRPr="00066BDC" w:rsidP="00C10CCE">
      <w:pPr>
        <w:spacing w:line="480" w:lineRule="auto"/>
        <w:jc w:val="both"/>
        <w:rPr>
          <w:rFonts w:ascii="Times New Roman" w:hAnsi="Times New Roman" w:cs="Times New Roman"/>
        </w:rPr>
      </w:pPr>
      <w:r w:rsidRPr="00623C11">
        <w:t xml:space="preserve"> </w:t>
      </w:r>
      <w:r w:rsidRPr="00066BDC">
        <w:rPr>
          <w:rFonts w:ascii="Times New Roman" w:hAnsi="Times New Roman" w:cs="Times New Roman"/>
          <w:sz w:val="24"/>
        </w:rPr>
        <w:t>The prosecutor can reduce the charge in exchange for a guilty plea or enter a formal statement by a prosecutor declaring that a case is discontinued. The pitfalls include insufficient evidence, inadmissible evidence, false accusations, and some crimes' trivial nature</w:t>
      </w:r>
      <w:r>
        <w:rPr>
          <w:rFonts w:ascii="Times New Roman" w:hAnsi="Times New Roman" w:cs="Times New Roman"/>
          <w:sz w:val="24"/>
        </w:rPr>
        <w:t xml:space="preserve">. </w:t>
      </w:r>
      <w:r w:rsidRPr="00066BDC">
        <w:rPr>
          <w:rFonts w:ascii="Times New Roman" w:hAnsi="Times New Roman" w:cs="Times New Roman"/>
          <w:sz w:val="24"/>
        </w:rPr>
        <w:t xml:space="preserve">After a prosecutor records a charge, the prosecutor can decrease the charge in return for a blameworthy supplication or enter a nolle prosequi (no. experts.). A nolle prosequi is a proper assertion by a prosecutor proclaiming that a case is suspended explanations behind entering a nol. Experts. Incorporate lacking proof, unacceptable proof, bogus incriminations, and a few violations' paltry nature. </w:t>
      </w:r>
    </w:p>
    <w:p w:rsidR="00623C11" w:rsidRPr="00066BDC" w:rsidP="00066BDC">
      <w:pPr>
        <w:pStyle w:val="ListParagraph"/>
        <w:numPr>
          <w:ilvl w:val="0"/>
          <w:numId w:val="4"/>
        </w:numPr>
        <w:spacing w:line="480" w:lineRule="auto"/>
        <w:jc w:val="center"/>
        <w:rPr>
          <w:rFonts w:ascii="Times New Roman" w:hAnsi="Times New Roman" w:cs="Times New Roman"/>
          <w:sz w:val="24"/>
        </w:rPr>
      </w:pPr>
      <w:r w:rsidRPr="00066BDC">
        <w:rPr>
          <w:rFonts w:ascii="Times New Roman" w:hAnsi="Times New Roman" w:cs="Times New Roman"/>
          <w:b/>
          <w:sz w:val="24"/>
        </w:rPr>
        <w:t>Plea bargaining</w:t>
      </w:r>
    </w:p>
    <w:p w:rsidR="00C2438A" w:rsidP="00C2438A">
      <w:pPr>
        <w:spacing w:line="480" w:lineRule="auto"/>
        <w:jc w:val="both"/>
        <w:rPr>
          <w:rFonts w:ascii="Times New Roman" w:hAnsi="Times New Roman" w:cs="Times New Roman"/>
          <w:sz w:val="24"/>
        </w:rPr>
      </w:pPr>
      <w:r w:rsidRPr="00066BDC">
        <w:rPr>
          <w:rFonts w:ascii="Times New Roman" w:hAnsi="Times New Roman" w:cs="Times New Roman"/>
          <w:sz w:val="24"/>
        </w:rPr>
        <w:t>Prosecutors additionally practice tact in arranging supplications with safeguard counsel. A supplication deal is an arrangement where a prosecutor allows a litigant to confess in return for a concession, like lessening the charges or suggesting a permissive sentence. There are benefits of request bartering to both the charged and the state. For the denounced, it offers the chance of a decreased sentence and less expensive lawful portrayal. The public authority diminishes the monetary expenses of prosecution, improves the courts' proficiency by having fewer cases attend full-court dates, and permits the prosecution to dedicate its assets to the more genuine cases.</w:t>
      </w:r>
    </w:p>
    <w:p w:rsidR="00C2438A" w:rsidP="00C2438A">
      <w:pPr>
        <w:spacing w:line="480" w:lineRule="auto"/>
        <w:jc w:val="both"/>
        <w:rPr>
          <w:rFonts w:ascii="Times New Roman" w:hAnsi="Times New Roman" w:cs="Times New Roman"/>
          <w:sz w:val="24"/>
        </w:rPr>
      </w:pPr>
    </w:p>
    <w:p w:rsidR="00C2438A" w:rsidP="00C2438A">
      <w:pPr>
        <w:spacing w:line="480" w:lineRule="auto"/>
        <w:jc w:val="both"/>
        <w:rPr>
          <w:rFonts w:ascii="Times New Roman" w:hAnsi="Times New Roman" w:cs="Times New Roman"/>
          <w:sz w:val="24"/>
        </w:rPr>
      </w:pPr>
      <w:bookmarkStart w:id="0" w:name="_GoBack"/>
      <w:bookmarkEnd w:id="0"/>
    </w:p>
    <w:p w:rsidR="00C2438A" w:rsidP="00C2438A">
      <w:pPr>
        <w:spacing w:line="480" w:lineRule="auto"/>
        <w:jc w:val="both"/>
        <w:rPr>
          <w:rFonts w:ascii="Times New Roman" w:hAnsi="Times New Roman" w:cs="Times New Roman"/>
          <w:sz w:val="24"/>
        </w:rPr>
      </w:pPr>
    </w:p>
    <w:p w:rsidR="00C2438A" w:rsidP="00C2438A">
      <w:pPr>
        <w:spacing w:line="480" w:lineRule="auto"/>
        <w:jc w:val="both"/>
        <w:rPr>
          <w:rFonts w:ascii="Times New Roman" w:hAnsi="Times New Roman" w:cs="Times New Roman"/>
          <w:sz w:val="24"/>
        </w:rPr>
      </w:pPr>
    </w:p>
    <w:p w:rsidR="00C216E3" w:rsidP="00910CE2"/>
    <w:p w:rsidR="00C216E3" w:rsidP="00C216E3">
      <w:pPr>
        <w:jc w:val="center"/>
      </w:pPr>
      <w:r>
        <w:t xml:space="preserve">Reference </w:t>
      </w:r>
    </w:p>
    <w:p w:rsidR="00910CE2" w:rsidP="00910CE2">
      <w:pPr>
        <w:ind w:left="720" w:hanging="720"/>
        <w:rPr>
          <w:rFonts w:ascii="Times New Roman" w:hAnsi="Times New Roman" w:cs="Times New Roman"/>
          <w:sz w:val="24"/>
          <w:shd w:val="clear" w:color="auto" w:fill="FFFFFF"/>
        </w:rPr>
      </w:pPr>
      <w:r w:rsidRPr="00910CE2">
        <w:rPr>
          <w:rFonts w:ascii="Times New Roman" w:hAnsi="Times New Roman" w:cs="Times New Roman"/>
          <w:sz w:val="24"/>
          <w:shd w:val="clear" w:color="auto" w:fill="FFFFFF"/>
        </w:rPr>
        <w:t>Levine, S. J. (2016). The Potential Utility of Disciplinary Regulation as a Remedy for Abuses of Prosecutorial Discretion. </w:t>
      </w:r>
      <w:r w:rsidRPr="00910CE2">
        <w:rPr>
          <w:rFonts w:ascii="Times New Roman" w:hAnsi="Times New Roman" w:cs="Times New Roman"/>
          <w:i/>
          <w:iCs/>
          <w:sz w:val="24"/>
          <w:shd w:val="clear" w:color="auto" w:fill="FFFFFF"/>
        </w:rPr>
        <w:t xml:space="preserve">Duke J. Const. L. &amp; Pub. </w:t>
      </w:r>
      <w:r w:rsidRPr="00910CE2">
        <w:rPr>
          <w:rFonts w:ascii="Times New Roman" w:hAnsi="Times New Roman" w:cs="Times New Roman"/>
          <w:i/>
          <w:iCs/>
          <w:sz w:val="24"/>
          <w:shd w:val="clear" w:color="auto" w:fill="FFFFFF"/>
        </w:rPr>
        <w:t>Pol'y</w:t>
      </w:r>
      <w:r w:rsidRPr="00910CE2">
        <w:rPr>
          <w:rFonts w:ascii="Times New Roman" w:hAnsi="Times New Roman" w:cs="Times New Roman"/>
          <w:sz w:val="24"/>
          <w:shd w:val="clear" w:color="auto" w:fill="FFFFFF"/>
        </w:rPr>
        <w:t>, </w:t>
      </w:r>
      <w:r w:rsidRPr="00910CE2">
        <w:rPr>
          <w:rFonts w:ascii="Times New Roman" w:hAnsi="Times New Roman" w:cs="Times New Roman"/>
          <w:i/>
          <w:iCs/>
          <w:sz w:val="24"/>
          <w:shd w:val="clear" w:color="auto" w:fill="FFFFFF"/>
        </w:rPr>
        <w:t>12</w:t>
      </w:r>
      <w:r w:rsidRPr="00910CE2">
        <w:rPr>
          <w:rFonts w:ascii="Times New Roman" w:hAnsi="Times New Roman" w:cs="Times New Roman"/>
          <w:sz w:val="24"/>
          <w:shd w:val="clear" w:color="auto" w:fill="FFFFFF"/>
        </w:rPr>
        <w:t>, 1.</w:t>
      </w:r>
    </w:p>
    <w:p w:rsidR="00E06EA7" w:rsidRPr="00910CE2" w:rsidP="00910CE2">
      <w:pPr>
        <w:ind w:left="720" w:hanging="720"/>
        <w:rPr>
          <w:rFonts w:ascii="Times New Roman" w:hAnsi="Times New Roman" w:cs="Times New Roman"/>
          <w:sz w:val="24"/>
          <w:shd w:val="clear" w:color="auto" w:fill="FFFFFF"/>
        </w:rPr>
      </w:pPr>
      <w:r>
        <w:rPr>
          <w:rFonts w:ascii="Arial" w:hAnsi="Arial" w:cs="Arial"/>
          <w:color w:val="222222"/>
          <w:sz w:val="20"/>
          <w:szCs w:val="20"/>
          <w:shd w:val="clear" w:color="auto" w:fill="FFFFFF"/>
        </w:rPr>
        <w:t>Green, B. A. (2018). Prosecutorial Discretion: The Difficulty and Necessity of Public Inquiry. </w:t>
      </w:r>
      <w:r>
        <w:rPr>
          <w:rFonts w:ascii="Arial" w:hAnsi="Arial" w:cs="Arial"/>
          <w:i/>
          <w:iCs/>
          <w:color w:val="222222"/>
          <w:sz w:val="20"/>
          <w:szCs w:val="20"/>
          <w:shd w:val="clear" w:color="auto" w:fill="FFFFFF"/>
        </w:rPr>
        <w:t>Dickinson L. Rev.</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123</w:t>
      </w:r>
      <w:r>
        <w:rPr>
          <w:rFonts w:ascii="Arial" w:hAnsi="Arial" w:cs="Arial"/>
          <w:color w:val="222222"/>
          <w:sz w:val="20"/>
          <w:szCs w:val="20"/>
          <w:shd w:val="clear" w:color="auto" w:fill="FFFFFF"/>
        </w:rPr>
        <w:t>, 589.</w:t>
      </w:r>
    </w:p>
    <w:p w:rsidR="00C216E3" w:rsidRPr="00C216E3" w:rsidP="00C216E3">
      <w:pPr>
        <w:jc w:val="center"/>
      </w:pPr>
    </w:p>
    <w:sectPr>
      <w:headerReference w:type="default" r:id="rId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8600915"/>
      <w:docPartObj>
        <w:docPartGallery w:val="Page Numbers (Top of Page)"/>
        <w:docPartUnique/>
      </w:docPartObj>
    </w:sdtPr>
    <w:sdtEndPr>
      <w:rPr>
        <w:noProof/>
      </w:rPr>
    </w:sdtEndPr>
    <w:sdtContent>
      <w:p w:rsidR="00C216E3">
        <w:pPr>
          <w:pStyle w:val="Header"/>
          <w:jc w:val="right"/>
        </w:pPr>
        <w:r>
          <w:fldChar w:fldCharType="begin"/>
        </w:r>
        <w:r>
          <w:instrText xml:space="preserve"> PAGE   \* MERGEFORMAT </w:instrText>
        </w:r>
        <w:r>
          <w:fldChar w:fldCharType="separate"/>
        </w:r>
        <w:r w:rsidR="00C10CCE">
          <w:rPr>
            <w:noProof/>
          </w:rPr>
          <w:t>4</w:t>
        </w:r>
        <w:r>
          <w:rPr>
            <w:noProof/>
          </w:rPr>
          <w:fldChar w:fldCharType="end"/>
        </w:r>
      </w:p>
    </w:sdtContent>
  </w:sdt>
  <w:p w:rsidR="00C21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0C4E5C"/>
    <w:multiLevelType w:val="hybridMultilevel"/>
    <w:tmpl w:val="5F828D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F5B47DF"/>
    <w:multiLevelType w:val="hybridMultilevel"/>
    <w:tmpl w:val="5F56D00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531A4CAA"/>
    <w:multiLevelType w:val="hybridMultilevel"/>
    <w:tmpl w:val="B9CEC99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7B878F2"/>
    <w:multiLevelType w:val="hybridMultilevel"/>
    <w:tmpl w:val="5362287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5E05373D"/>
    <w:multiLevelType w:val="hybridMultilevel"/>
    <w:tmpl w:val="7DE2D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C9A71EE"/>
    <w:multiLevelType w:val="hybridMultilevel"/>
    <w:tmpl w:val="4ACAA07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6E3"/>
    <w:rsid w:val="00066BDC"/>
    <w:rsid w:val="00175352"/>
    <w:rsid w:val="00212EEB"/>
    <w:rsid w:val="00255464"/>
    <w:rsid w:val="004864C1"/>
    <w:rsid w:val="004C686A"/>
    <w:rsid w:val="00523208"/>
    <w:rsid w:val="00566B60"/>
    <w:rsid w:val="00623C11"/>
    <w:rsid w:val="00910CE2"/>
    <w:rsid w:val="009D59C9"/>
    <w:rsid w:val="009F2ABE"/>
    <w:rsid w:val="00A75278"/>
    <w:rsid w:val="00B6315A"/>
    <w:rsid w:val="00C10CCE"/>
    <w:rsid w:val="00C216E3"/>
    <w:rsid w:val="00C2438A"/>
    <w:rsid w:val="00D77DCC"/>
    <w:rsid w:val="00E008FE"/>
    <w:rsid w:val="00E06EA7"/>
    <w:rsid w:val="00EC79E9"/>
    <w:rsid w:val="00F312D9"/>
    <w:rsid w:val="00F452EE"/>
    <w:rsid w:val="00F67C60"/>
    <w:rsid w:val="00FB69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2EFB3B"/>
  <w15:chartTrackingRefBased/>
  <w15:docId w15:val="{D6AB4682-9FE8-406F-99D3-38A020EA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6E3"/>
    <w:pPr>
      <w:ind w:left="720"/>
      <w:contextualSpacing/>
    </w:pPr>
  </w:style>
  <w:style w:type="paragraph" w:styleId="Header">
    <w:name w:val="header"/>
    <w:basedOn w:val="Normal"/>
    <w:link w:val="HeaderChar"/>
    <w:uiPriority w:val="99"/>
    <w:unhideWhenUsed/>
    <w:rsid w:val="00C21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6E3"/>
  </w:style>
  <w:style w:type="paragraph" w:styleId="Footer">
    <w:name w:val="footer"/>
    <w:basedOn w:val="Normal"/>
    <w:link w:val="FooterChar"/>
    <w:uiPriority w:val="99"/>
    <w:unhideWhenUsed/>
    <w:rsid w:val="00C21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6E3"/>
  </w:style>
  <w:style w:type="character" w:styleId="Hyperlink">
    <w:name w:val="Hyperlink"/>
    <w:basedOn w:val="DefaultParagraphFont"/>
    <w:uiPriority w:val="99"/>
    <w:semiHidden/>
    <w:unhideWhenUsed/>
    <w:rsid w:val="00F67C60"/>
    <w:rPr>
      <w:color w:val="0000FF"/>
      <w:u w:val="single"/>
    </w:rPr>
  </w:style>
  <w:style w:type="character" w:styleId="Emphasis">
    <w:name w:val="Emphasis"/>
    <w:basedOn w:val="DefaultParagraphFont"/>
    <w:uiPriority w:val="20"/>
    <w:qFormat/>
    <w:rsid w:val="009F2A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LIVERPOOL</dc:creator>
  <cp:lastModifiedBy>LIVERPOOL</cp:lastModifiedBy>
  <cp:revision>15</cp:revision>
  <dcterms:created xsi:type="dcterms:W3CDTF">2021-03-06T19:27:00Z</dcterms:created>
  <dcterms:modified xsi:type="dcterms:W3CDTF">2021-03-17T04:37:00Z</dcterms:modified>
</cp:coreProperties>
</file>